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5C93" w14:textId="77777777" w:rsidR="00857846" w:rsidRDefault="00857846" w:rsidP="00857846">
      <w:pPr>
        <w:pStyle w:val="Heading1"/>
      </w:pPr>
      <w:r>
        <w:t>ESC Plenary meeting – Minutes (16.04.2026)</w:t>
      </w:r>
    </w:p>
    <w:p w14:paraId="105C448E" w14:textId="77777777" w:rsidR="00857846" w:rsidRPr="00686E85" w:rsidRDefault="00857846" w:rsidP="00F57747">
      <w:pPr>
        <w:pStyle w:val="Heading2"/>
      </w:pPr>
      <w:r w:rsidRPr="00686E85">
        <w:t>List of attendees</w:t>
      </w:r>
    </w:p>
    <w:tbl>
      <w:tblPr>
        <w:tblStyle w:val="TableGrid"/>
        <w:tblW w:w="0" w:type="auto"/>
        <w:jc w:val="center"/>
        <w:tblLook w:val="04A0" w:firstRow="1" w:lastRow="0" w:firstColumn="1" w:lastColumn="0" w:noHBand="0" w:noVBand="1"/>
      </w:tblPr>
      <w:tblGrid>
        <w:gridCol w:w="8014"/>
      </w:tblGrid>
      <w:tr w:rsidR="00857846" w:rsidRPr="00686E85" w14:paraId="32ADFD3D" w14:textId="77777777" w:rsidTr="003F1348">
        <w:trPr>
          <w:trHeight w:val="290"/>
          <w:jc w:val="center"/>
        </w:trPr>
        <w:tc>
          <w:tcPr>
            <w:tcW w:w="8014" w:type="dxa"/>
            <w:noWrap/>
            <w:hideMark/>
          </w:tcPr>
          <w:p w14:paraId="3EBEA433" w14:textId="77777777" w:rsidR="00857846" w:rsidRPr="00686E85" w:rsidRDefault="00857846" w:rsidP="003F1348">
            <w:r w:rsidRPr="00686E85">
              <w:t>Matteo Boccia</w:t>
            </w:r>
          </w:p>
        </w:tc>
      </w:tr>
      <w:tr w:rsidR="00857846" w:rsidRPr="00686E85" w14:paraId="34A1B983" w14:textId="77777777" w:rsidTr="003F1348">
        <w:trPr>
          <w:trHeight w:val="290"/>
          <w:jc w:val="center"/>
        </w:trPr>
        <w:tc>
          <w:tcPr>
            <w:tcW w:w="8014" w:type="dxa"/>
            <w:noWrap/>
            <w:hideMark/>
          </w:tcPr>
          <w:p w14:paraId="57D8D64A" w14:textId="77777777" w:rsidR="00857846" w:rsidRPr="00686E85" w:rsidRDefault="00857846" w:rsidP="003F1348">
            <w:r w:rsidRPr="00686E85">
              <w:t>Slawomir BRYSKA (ACER)</w:t>
            </w:r>
          </w:p>
        </w:tc>
      </w:tr>
      <w:tr w:rsidR="00857846" w:rsidRPr="00686E85" w14:paraId="0767E163" w14:textId="77777777" w:rsidTr="003F1348">
        <w:trPr>
          <w:trHeight w:val="290"/>
          <w:jc w:val="center"/>
        </w:trPr>
        <w:tc>
          <w:tcPr>
            <w:tcW w:w="8014" w:type="dxa"/>
            <w:noWrap/>
            <w:hideMark/>
          </w:tcPr>
          <w:p w14:paraId="3B56AE42" w14:textId="77777777" w:rsidR="00857846" w:rsidRPr="00686E85" w:rsidRDefault="00857846" w:rsidP="003F1348">
            <w:r w:rsidRPr="00686E85">
              <w:t>Athanasios Katsikopoulos</w:t>
            </w:r>
          </w:p>
        </w:tc>
      </w:tr>
      <w:tr w:rsidR="00857846" w:rsidRPr="00686E85" w14:paraId="6BB987DE" w14:textId="77777777" w:rsidTr="003F1348">
        <w:trPr>
          <w:trHeight w:val="290"/>
          <w:jc w:val="center"/>
        </w:trPr>
        <w:tc>
          <w:tcPr>
            <w:tcW w:w="8014" w:type="dxa"/>
            <w:noWrap/>
            <w:hideMark/>
          </w:tcPr>
          <w:p w14:paraId="373E4A6A" w14:textId="77777777" w:rsidR="00857846" w:rsidRPr="00686E85" w:rsidRDefault="00857846" w:rsidP="003F1348">
            <w:r w:rsidRPr="00686E85">
              <w:t>Alexandru SOARE</w:t>
            </w:r>
          </w:p>
        </w:tc>
      </w:tr>
      <w:tr w:rsidR="00857846" w:rsidRPr="00686E85" w14:paraId="1B5C7EB5" w14:textId="77777777" w:rsidTr="003F1348">
        <w:trPr>
          <w:trHeight w:val="290"/>
          <w:jc w:val="center"/>
        </w:trPr>
        <w:tc>
          <w:tcPr>
            <w:tcW w:w="8014" w:type="dxa"/>
            <w:noWrap/>
            <w:hideMark/>
          </w:tcPr>
          <w:p w14:paraId="479E34CD" w14:textId="77777777" w:rsidR="00857846" w:rsidRPr="00686E85" w:rsidRDefault="00857846" w:rsidP="003F1348">
            <w:r w:rsidRPr="00686E85">
              <w:t>Todd Brent Davis</w:t>
            </w:r>
          </w:p>
        </w:tc>
      </w:tr>
      <w:tr w:rsidR="00857846" w:rsidRPr="00686E85" w14:paraId="2944D571" w14:textId="77777777" w:rsidTr="003F1348">
        <w:trPr>
          <w:trHeight w:val="290"/>
          <w:jc w:val="center"/>
        </w:trPr>
        <w:tc>
          <w:tcPr>
            <w:tcW w:w="8014" w:type="dxa"/>
            <w:noWrap/>
            <w:hideMark/>
          </w:tcPr>
          <w:p w14:paraId="46759E40" w14:textId="77777777" w:rsidR="00857846" w:rsidRPr="00686E85" w:rsidRDefault="00857846" w:rsidP="003F1348">
            <w:r w:rsidRPr="00686E85">
              <w:t>Wibbelink, Ron</w:t>
            </w:r>
          </w:p>
        </w:tc>
      </w:tr>
      <w:tr w:rsidR="00857846" w:rsidRPr="00686E85" w14:paraId="02C94F58" w14:textId="77777777" w:rsidTr="003F1348">
        <w:trPr>
          <w:trHeight w:val="290"/>
          <w:jc w:val="center"/>
        </w:trPr>
        <w:tc>
          <w:tcPr>
            <w:tcW w:w="8014" w:type="dxa"/>
            <w:noWrap/>
            <w:hideMark/>
          </w:tcPr>
          <w:p w14:paraId="50BD21DF" w14:textId="77777777" w:rsidR="00857846" w:rsidRPr="00686E85" w:rsidRDefault="00857846" w:rsidP="003F1348">
            <w:r w:rsidRPr="00686E85">
              <w:t>Cioffo Vincenzo</w:t>
            </w:r>
          </w:p>
        </w:tc>
      </w:tr>
      <w:tr w:rsidR="00857846" w:rsidRPr="00686E85" w14:paraId="089FA75D" w14:textId="77777777" w:rsidTr="003F1348">
        <w:trPr>
          <w:trHeight w:val="290"/>
          <w:jc w:val="center"/>
        </w:trPr>
        <w:tc>
          <w:tcPr>
            <w:tcW w:w="8014" w:type="dxa"/>
            <w:noWrap/>
            <w:hideMark/>
          </w:tcPr>
          <w:p w14:paraId="7FF58296" w14:textId="77777777" w:rsidR="00857846" w:rsidRPr="00686E85" w:rsidRDefault="00857846" w:rsidP="003F1348">
            <w:r w:rsidRPr="00686E85">
              <w:t>Aalderink, Gerwin</w:t>
            </w:r>
          </w:p>
        </w:tc>
      </w:tr>
      <w:tr w:rsidR="00857846" w:rsidRPr="00686E85" w14:paraId="24EBAE64" w14:textId="77777777" w:rsidTr="003F1348">
        <w:trPr>
          <w:trHeight w:val="290"/>
          <w:jc w:val="center"/>
        </w:trPr>
        <w:tc>
          <w:tcPr>
            <w:tcW w:w="8014" w:type="dxa"/>
            <w:noWrap/>
            <w:hideMark/>
          </w:tcPr>
          <w:p w14:paraId="6FE4505B" w14:textId="77777777" w:rsidR="00857846" w:rsidRPr="00686E85" w:rsidRDefault="00857846" w:rsidP="003F1348">
            <w:r w:rsidRPr="00686E85">
              <w:t>Teams Room Ohm</w:t>
            </w:r>
          </w:p>
        </w:tc>
      </w:tr>
      <w:tr w:rsidR="00857846" w:rsidRPr="00686E85" w14:paraId="645EA053" w14:textId="77777777" w:rsidTr="003F1348">
        <w:trPr>
          <w:trHeight w:val="290"/>
          <w:jc w:val="center"/>
        </w:trPr>
        <w:tc>
          <w:tcPr>
            <w:tcW w:w="8014" w:type="dxa"/>
            <w:noWrap/>
            <w:hideMark/>
          </w:tcPr>
          <w:p w14:paraId="008E0B92" w14:textId="77777777" w:rsidR="00857846" w:rsidRPr="00686E85" w:rsidRDefault="00857846" w:rsidP="003F1348">
            <w:r w:rsidRPr="00686E85">
              <w:t>Matija Maček</w:t>
            </w:r>
          </w:p>
        </w:tc>
      </w:tr>
      <w:tr w:rsidR="00857846" w:rsidRPr="00686E85" w14:paraId="43839A48" w14:textId="77777777" w:rsidTr="003F1348">
        <w:trPr>
          <w:trHeight w:val="290"/>
          <w:jc w:val="center"/>
        </w:trPr>
        <w:tc>
          <w:tcPr>
            <w:tcW w:w="8014" w:type="dxa"/>
            <w:noWrap/>
            <w:hideMark/>
          </w:tcPr>
          <w:p w14:paraId="1D398A84" w14:textId="77777777" w:rsidR="00857846" w:rsidRPr="00686E85" w:rsidRDefault="00857846" w:rsidP="003F1348">
            <w:r w:rsidRPr="00686E85">
              <w:t>Grzegorz Bojar</w:t>
            </w:r>
          </w:p>
        </w:tc>
      </w:tr>
      <w:tr w:rsidR="00857846" w:rsidRPr="00686E85" w14:paraId="06E9FED6" w14:textId="77777777" w:rsidTr="003F1348">
        <w:trPr>
          <w:trHeight w:val="290"/>
          <w:jc w:val="center"/>
        </w:trPr>
        <w:tc>
          <w:tcPr>
            <w:tcW w:w="8014" w:type="dxa"/>
            <w:noWrap/>
            <w:hideMark/>
          </w:tcPr>
          <w:p w14:paraId="2AC29C11" w14:textId="77777777" w:rsidR="00857846" w:rsidRPr="00686E85" w:rsidRDefault="00857846" w:rsidP="003F1348">
            <w:r w:rsidRPr="00686E85">
              <w:t>Arsim Bytyqi</w:t>
            </w:r>
          </w:p>
        </w:tc>
      </w:tr>
      <w:tr w:rsidR="00857846" w:rsidRPr="00686E85" w14:paraId="517BC201" w14:textId="77777777" w:rsidTr="003F1348">
        <w:trPr>
          <w:trHeight w:val="290"/>
          <w:jc w:val="center"/>
        </w:trPr>
        <w:tc>
          <w:tcPr>
            <w:tcW w:w="8014" w:type="dxa"/>
            <w:noWrap/>
            <w:hideMark/>
          </w:tcPr>
          <w:p w14:paraId="59E2163B" w14:textId="77777777" w:rsidR="00857846" w:rsidRPr="00686E85" w:rsidRDefault="00857846" w:rsidP="003F1348">
            <w:r w:rsidRPr="00686E85">
              <w:t>Annica Gustafsson</w:t>
            </w:r>
          </w:p>
        </w:tc>
      </w:tr>
      <w:tr w:rsidR="00857846" w:rsidRPr="002B763B" w14:paraId="7455417F" w14:textId="77777777" w:rsidTr="003F1348">
        <w:trPr>
          <w:trHeight w:val="290"/>
          <w:jc w:val="center"/>
        </w:trPr>
        <w:tc>
          <w:tcPr>
            <w:tcW w:w="8014" w:type="dxa"/>
            <w:noWrap/>
            <w:hideMark/>
          </w:tcPr>
          <w:p w14:paraId="13CE81C6" w14:textId="77777777" w:rsidR="00857846" w:rsidRPr="002B763B" w:rsidRDefault="00857846" w:rsidP="003F1348">
            <w:pPr>
              <w:rPr>
                <w:lang w:val="fr-BE"/>
              </w:rPr>
            </w:pPr>
            <w:r w:rsidRPr="002B763B">
              <w:rPr>
                <w:lang w:val="fr-BE"/>
              </w:rPr>
              <w:t>Robbe De Donder (FOD Economie - SPF Economie)</w:t>
            </w:r>
          </w:p>
        </w:tc>
      </w:tr>
      <w:tr w:rsidR="00857846" w:rsidRPr="00686E85" w14:paraId="7EA5E33E" w14:textId="77777777" w:rsidTr="003F1348">
        <w:trPr>
          <w:trHeight w:val="290"/>
          <w:jc w:val="center"/>
        </w:trPr>
        <w:tc>
          <w:tcPr>
            <w:tcW w:w="8014" w:type="dxa"/>
            <w:noWrap/>
            <w:hideMark/>
          </w:tcPr>
          <w:p w14:paraId="05BEAAAA" w14:textId="77777777" w:rsidR="00857846" w:rsidRPr="00686E85" w:rsidRDefault="00857846" w:rsidP="003F1348">
            <w:r w:rsidRPr="00686E85">
              <w:t>DEBACKER Beatrice (ENGIE Belgium)</w:t>
            </w:r>
          </w:p>
        </w:tc>
      </w:tr>
      <w:tr w:rsidR="00857846" w:rsidRPr="00686E85" w14:paraId="057E80A1" w14:textId="77777777" w:rsidTr="003F1348">
        <w:trPr>
          <w:trHeight w:val="290"/>
          <w:jc w:val="center"/>
        </w:trPr>
        <w:tc>
          <w:tcPr>
            <w:tcW w:w="8014" w:type="dxa"/>
            <w:noWrap/>
            <w:hideMark/>
          </w:tcPr>
          <w:p w14:paraId="3D0BB729" w14:textId="77777777" w:rsidR="00857846" w:rsidRPr="00686E85" w:rsidRDefault="00857846" w:rsidP="003F1348">
            <w:r w:rsidRPr="00686E85">
              <w:t xml:space="preserve">Marie </w:t>
            </w:r>
            <w:proofErr w:type="spellStart"/>
            <w:r w:rsidRPr="00686E85">
              <w:t>Gewehr</w:t>
            </w:r>
            <w:proofErr w:type="spellEnd"/>
          </w:p>
        </w:tc>
      </w:tr>
      <w:tr w:rsidR="00857846" w:rsidRPr="00686E85" w14:paraId="2693FB6D" w14:textId="77777777" w:rsidTr="003F1348">
        <w:trPr>
          <w:trHeight w:val="290"/>
          <w:jc w:val="center"/>
        </w:trPr>
        <w:tc>
          <w:tcPr>
            <w:tcW w:w="8014" w:type="dxa"/>
            <w:noWrap/>
            <w:hideMark/>
          </w:tcPr>
          <w:p w14:paraId="61196712" w14:textId="77777777" w:rsidR="00857846" w:rsidRPr="00686E85" w:rsidRDefault="00857846" w:rsidP="003F1348">
            <w:r w:rsidRPr="00686E85">
              <w:t>MARIO JARDIM</w:t>
            </w:r>
          </w:p>
        </w:tc>
      </w:tr>
      <w:tr w:rsidR="00857846" w:rsidRPr="00686E85" w14:paraId="16DDBB22" w14:textId="77777777" w:rsidTr="003F1348">
        <w:trPr>
          <w:trHeight w:val="290"/>
          <w:jc w:val="center"/>
        </w:trPr>
        <w:tc>
          <w:tcPr>
            <w:tcW w:w="8014" w:type="dxa"/>
            <w:noWrap/>
            <w:hideMark/>
          </w:tcPr>
          <w:p w14:paraId="16214EEE" w14:textId="77777777" w:rsidR="00857846" w:rsidRPr="00686E85" w:rsidRDefault="00857846" w:rsidP="003F1348">
            <w:r w:rsidRPr="00686E85">
              <w:t>CLEMENT Olivier</w:t>
            </w:r>
          </w:p>
        </w:tc>
      </w:tr>
      <w:tr w:rsidR="00857846" w:rsidRPr="00686E85" w14:paraId="4236B9D1" w14:textId="77777777" w:rsidTr="003F1348">
        <w:trPr>
          <w:trHeight w:val="290"/>
          <w:jc w:val="center"/>
        </w:trPr>
        <w:tc>
          <w:tcPr>
            <w:tcW w:w="8014" w:type="dxa"/>
            <w:noWrap/>
            <w:hideMark/>
          </w:tcPr>
          <w:p w14:paraId="5360C371" w14:textId="77777777" w:rsidR="00857846" w:rsidRPr="00686E85" w:rsidRDefault="00857846" w:rsidP="003F1348">
            <w:r w:rsidRPr="00686E85">
              <w:t>Meinhard Bohlen</w:t>
            </w:r>
          </w:p>
        </w:tc>
      </w:tr>
      <w:tr w:rsidR="00857846" w:rsidRPr="00686E85" w14:paraId="710A890E" w14:textId="77777777" w:rsidTr="003F1348">
        <w:trPr>
          <w:trHeight w:val="290"/>
          <w:jc w:val="center"/>
        </w:trPr>
        <w:tc>
          <w:tcPr>
            <w:tcW w:w="8014" w:type="dxa"/>
            <w:noWrap/>
            <w:hideMark/>
          </w:tcPr>
          <w:p w14:paraId="488352C1" w14:textId="77777777" w:rsidR="00857846" w:rsidRPr="00686E85" w:rsidRDefault="00857846" w:rsidP="003F1348">
            <w:r w:rsidRPr="00686E85">
              <w:t>Gerben Blom</w:t>
            </w:r>
          </w:p>
        </w:tc>
      </w:tr>
      <w:tr w:rsidR="00857846" w:rsidRPr="00686E85" w14:paraId="6D24A9A9" w14:textId="77777777" w:rsidTr="003F1348">
        <w:trPr>
          <w:trHeight w:val="290"/>
          <w:jc w:val="center"/>
        </w:trPr>
        <w:tc>
          <w:tcPr>
            <w:tcW w:w="8014" w:type="dxa"/>
            <w:noWrap/>
            <w:hideMark/>
          </w:tcPr>
          <w:p w14:paraId="3C38E136" w14:textId="77777777" w:rsidR="00857846" w:rsidRPr="00686E85" w:rsidRDefault="00857846" w:rsidP="003F1348">
            <w:r w:rsidRPr="00686E85">
              <w:t>Selhofer Armin</w:t>
            </w:r>
          </w:p>
        </w:tc>
      </w:tr>
      <w:tr w:rsidR="00857846" w:rsidRPr="00686E85" w14:paraId="7D1E6EE2" w14:textId="77777777" w:rsidTr="003F1348">
        <w:trPr>
          <w:trHeight w:val="290"/>
          <w:jc w:val="center"/>
        </w:trPr>
        <w:tc>
          <w:tcPr>
            <w:tcW w:w="8014" w:type="dxa"/>
            <w:noWrap/>
            <w:hideMark/>
          </w:tcPr>
          <w:p w14:paraId="328D9874" w14:textId="77777777" w:rsidR="00857846" w:rsidRPr="00686E85" w:rsidRDefault="00857846" w:rsidP="003F1348">
            <w:r w:rsidRPr="00686E85">
              <w:t>Davidson, Ryan</w:t>
            </w:r>
          </w:p>
        </w:tc>
      </w:tr>
      <w:tr w:rsidR="00857846" w:rsidRPr="00686E85" w14:paraId="32EECB89" w14:textId="77777777" w:rsidTr="003F1348">
        <w:trPr>
          <w:trHeight w:val="290"/>
          <w:jc w:val="center"/>
        </w:trPr>
        <w:tc>
          <w:tcPr>
            <w:tcW w:w="8014" w:type="dxa"/>
            <w:noWrap/>
            <w:hideMark/>
          </w:tcPr>
          <w:p w14:paraId="1390BEA7" w14:textId="77777777" w:rsidR="00857846" w:rsidRPr="00686E85" w:rsidRDefault="00857846" w:rsidP="003F1348">
            <w:r w:rsidRPr="00686E85">
              <w:t xml:space="preserve">Kristiina </w:t>
            </w:r>
            <w:proofErr w:type="spellStart"/>
            <w:r w:rsidRPr="00686E85">
              <w:t>Kaareste</w:t>
            </w:r>
            <w:proofErr w:type="spellEnd"/>
          </w:p>
        </w:tc>
      </w:tr>
      <w:tr w:rsidR="00857846" w:rsidRPr="00686E85" w14:paraId="258E9A4F" w14:textId="77777777" w:rsidTr="003F1348">
        <w:trPr>
          <w:trHeight w:val="290"/>
          <w:jc w:val="center"/>
        </w:trPr>
        <w:tc>
          <w:tcPr>
            <w:tcW w:w="8014" w:type="dxa"/>
            <w:noWrap/>
            <w:hideMark/>
          </w:tcPr>
          <w:p w14:paraId="0E030976" w14:textId="77777777" w:rsidR="00857846" w:rsidRPr="00686E85" w:rsidRDefault="00857846" w:rsidP="003F1348">
            <w:r w:rsidRPr="00686E85">
              <w:t>DUFRENE Mathieu</w:t>
            </w:r>
          </w:p>
        </w:tc>
      </w:tr>
      <w:tr w:rsidR="00857846" w:rsidRPr="00686E85" w14:paraId="432DEFFE" w14:textId="77777777" w:rsidTr="003F1348">
        <w:trPr>
          <w:trHeight w:val="290"/>
          <w:jc w:val="center"/>
        </w:trPr>
        <w:tc>
          <w:tcPr>
            <w:tcW w:w="8014" w:type="dxa"/>
            <w:noWrap/>
            <w:hideMark/>
          </w:tcPr>
          <w:p w14:paraId="6AC28324" w14:textId="77777777" w:rsidR="00857846" w:rsidRPr="00686E85" w:rsidRDefault="00857846" w:rsidP="003F1348">
            <w:r w:rsidRPr="00686E85">
              <w:t>Polák Ondřej</w:t>
            </w:r>
          </w:p>
        </w:tc>
      </w:tr>
      <w:tr w:rsidR="00857846" w:rsidRPr="00686E85" w14:paraId="04CCF357" w14:textId="77777777" w:rsidTr="003F1348">
        <w:trPr>
          <w:trHeight w:val="290"/>
          <w:jc w:val="center"/>
        </w:trPr>
        <w:tc>
          <w:tcPr>
            <w:tcW w:w="8014" w:type="dxa"/>
            <w:noWrap/>
            <w:hideMark/>
          </w:tcPr>
          <w:p w14:paraId="545CBD09" w14:textId="77777777" w:rsidR="00857846" w:rsidRPr="00686E85" w:rsidRDefault="00857846" w:rsidP="003F1348">
            <w:r w:rsidRPr="00686E85">
              <w:t>Vitelli Chiara (GME)</w:t>
            </w:r>
          </w:p>
        </w:tc>
      </w:tr>
      <w:tr w:rsidR="00857846" w:rsidRPr="00686E85" w14:paraId="275644F7" w14:textId="77777777" w:rsidTr="003F1348">
        <w:trPr>
          <w:trHeight w:val="290"/>
          <w:jc w:val="center"/>
        </w:trPr>
        <w:tc>
          <w:tcPr>
            <w:tcW w:w="8014" w:type="dxa"/>
            <w:noWrap/>
            <w:hideMark/>
          </w:tcPr>
          <w:p w14:paraId="45A007C1" w14:textId="77777777" w:rsidR="00857846" w:rsidRPr="00686E85" w:rsidRDefault="00857846" w:rsidP="003F1348">
            <w:r w:rsidRPr="00686E85">
              <w:t>NUNO MEDEIROS</w:t>
            </w:r>
          </w:p>
        </w:tc>
      </w:tr>
      <w:tr w:rsidR="00857846" w:rsidRPr="00686E85" w14:paraId="306811F2" w14:textId="77777777" w:rsidTr="003F1348">
        <w:trPr>
          <w:trHeight w:val="290"/>
          <w:jc w:val="center"/>
        </w:trPr>
        <w:tc>
          <w:tcPr>
            <w:tcW w:w="8014" w:type="dxa"/>
            <w:noWrap/>
            <w:hideMark/>
          </w:tcPr>
          <w:p w14:paraId="33A08701" w14:textId="77777777" w:rsidR="00857846" w:rsidRPr="00686E85" w:rsidRDefault="00857846" w:rsidP="003F1348">
            <w:r w:rsidRPr="00686E85">
              <w:t>Marta Grosso</w:t>
            </w:r>
          </w:p>
        </w:tc>
      </w:tr>
      <w:tr w:rsidR="00857846" w:rsidRPr="00686E85" w14:paraId="4C57F6DC" w14:textId="77777777" w:rsidTr="003F1348">
        <w:trPr>
          <w:trHeight w:val="290"/>
          <w:jc w:val="center"/>
        </w:trPr>
        <w:tc>
          <w:tcPr>
            <w:tcW w:w="8014" w:type="dxa"/>
            <w:noWrap/>
            <w:hideMark/>
          </w:tcPr>
          <w:p w14:paraId="23854FED" w14:textId="77777777" w:rsidR="00857846" w:rsidRPr="00686E85" w:rsidRDefault="00857846" w:rsidP="003F1348">
            <w:r w:rsidRPr="00686E85">
              <w:t>Klaer, Benedikt</w:t>
            </w:r>
          </w:p>
        </w:tc>
      </w:tr>
      <w:tr w:rsidR="00857846" w:rsidRPr="00686E85" w14:paraId="36D3175D" w14:textId="77777777" w:rsidTr="003F1348">
        <w:trPr>
          <w:trHeight w:val="290"/>
          <w:jc w:val="center"/>
        </w:trPr>
        <w:tc>
          <w:tcPr>
            <w:tcW w:w="8014" w:type="dxa"/>
            <w:noWrap/>
            <w:hideMark/>
          </w:tcPr>
          <w:p w14:paraId="65A645DD" w14:textId="77777777" w:rsidR="00857846" w:rsidRPr="00686E85" w:rsidRDefault="00857846" w:rsidP="003F1348">
            <w:r w:rsidRPr="00686E85">
              <w:t>Allaert Peter</w:t>
            </w:r>
          </w:p>
        </w:tc>
      </w:tr>
      <w:tr w:rsidR="00857846" w:rsidRPr="00686E85" w14:paraId="7665EE39" w14:textId="77777777" w:rsidTr="003F1348">
        <w:trPr>
          <w:trHeight w:val="290"/>
          <w:jc w:val="center"/>
        </w:trPr>
        <w:tc>
          <w:tcPr>
            <w:tcW w:w="8014" w:type="dxa"/>
            <w:noWrap/>
            <w:hideMark/>
          </w:tcPr>
          <w:p w14:paraId="5B3409B9" w14:textId="77777777" w:rsidR="00857846" w:rsidRPr="00686E85" w:rsidRDefault="00857846" w:rsidP="003F1348">
            <w:proofErr w:type="spellStart"/>
            <w:r w:rsidRPr="00686E85">
              <w:t>Polytimi</w:t>
            </w:r>
            <w:proofErr w:type="spellEnd"/>
            <w:r w:rsidRPr="00686E85">
              <w:t xml:space="preserve"> Spyropoulou</w:t>
            </w:r>
          </w:p>
        </w:tc>
      </w:tr>
      <w:tr w:rsidR="00857846" w:rsidRPr="00686E85" w14:paraId="6AAA7A14" w14:textId="77777777" w:rsidTr="003F1348">
        <w:trPr>
          <w:trHeight w:val="290"/>
          <w:jc w:val="center"/>
        </w:trPr>
        <w:tc>
          <w:tcPr>
            <w:tcW w:w="8014" w:type="dxa"/>
            <w:noWrap/>
            <w:hideMark/>
          </w:tcPr>
          <w:p w14:paraId="3F70EFC0" w14:textId="77777777" w:rsidR="00857846" w:rsidRPr="00686E85" w:rsidRDefault="00857846" w:rsidP="003F1348">
            <w:r w:rsidRPr="00686E85">
              <w:t>Uri Sadot</w:t>
            </w:r>
          </w:p>
        </w:tc>
      </w:tr>
      <w:tr w:rsidR="00857846" w:rsidRPr="00686E85" w14:paraId="716C5D7F" w14:textId="77777777" w:rsidTr="003F1348">
        <w:trPr>
          <w:trHeight w:val="290"/>
          <w:jc w:val="center"/>
        </w:trPr>
        <w:tc>
          <w:tcPr>
            <w:tcW w:w="8014" w:type="dxa"/>
            <w:noWrap/>
            <w:hideMark/>
          </w:tcPr>
          <w:p w14:paraId="291A4F99" w14:textId="77777777" w:rsidR="00857846" w:rsidRPr="00686E85" w:rsidRDefault="00857846" w:rsidP="003F1348">
            <w:r w:rsidRPr="00686E85">
              <w:t>Peskova, Monika</w:t>
            </w:r>
          </w:p>
        </w:tc>
      </w:tr>
      <w:tr w:rsidR="00857846" w:rsidRPr="00686E85" w14:paraId="26CABDE0" w14:textId="77777777" w:rsidTr="003F1348">
        <w:trPr>
          <w:trHeight w:val="290"/>
          <w:jc w:val="center"/>
        </w:trPr>
        <w:tc>
          <w:tcPr>
            <w:tcW w:w="8014" w:type="dxa"/>
            <w:noWrap/>
            <w:hideMark/>
          </w:tcPr>
          <w:p w14:paraId="654BC4D3" w14:textId="77777777" w:rsidR="00857846" w:rsidRPr="00686E85" w:rsidRDefault="00857846" w:rsidP="003F1348">
            <w:r w:rsidRPr="00686E85">
              <w:t>Silviu-Nicolae Dorobantu</w:t>
            </w:r>
          </w:p>
        </w:tc>
      </w:tr>
      <w:tr w:rsidR="00857846" w:rsidRPr="00686E85" w14:paraId="0420F871" w14:textId="77777777" w:rsidTr="003F1348">
        <w:trPr>
          <w:trHeight w:val="290"/>
          <w:jc w:val="center"/>
        </w:trPr>
        <w:tc>
          <w:tcPr>
            <w:tcW w:w="8014" w:type="dxa"/>
            <w:noWrap/>
            <w:hideMark/>
          </w:tcPr>
          <w:p w14:paraId="4AE31171" w14:textId="77777777" w:rsidR="00857846" w:rsidRPr="00686E85" w:rsidRDefault="00857846" w:rsidP="003F1348">
            <w:r w:rsidRPr="00686E85">
              <w:t>Krauhausen, Thomas</w:t>
            </w:r>
          </w:p>
        </w:tc>
      </w:tr>
      <w:tr w:rsidR="00857846" w:rsidRPr="00686E85" w14:paraId="77B5012B" w14:textId="77777777" w:rsidTr="003F1348">
        <w:trPr>
          <w:trHeight w:val="290"/>
          <w:jc w:val="center"/>
        </w:trPr>
        <w:tc>
          <w:tcPr>
            <w:tcW w:w="8014" w:type="dxa"/>
            <w:noWrap/>
            <w:hideMark/>
          </w:tcPr>
          <w:p w14:paraId="7FE7B919" w14:textId="77777777" w:rsidR="00857846" w:rsidRPr="00686E85" w:rsidRDefault="00857846" w:rsidP="003F1348">
            <w:r w:rsidRPr="00686E85">
              <w:t>Papalini Emilio Maria</w:t>
            </w:r>
          </w:p>
        </w:tc>
      </w:tr>
      <w:tr w:rsidR="00857846" w:rsidRPr="00686E85" w14:paraId="320B4455" w14:textId="77777777" w:rsidTr="003F1348">
        <w:trPr>
          <w:trHeight w:val="290"/>
          <w:jc w:val="center"/>
        </w:trPr>
        <w:tc>
          <w:tcPr>
            <w:tcW w:w="8014" w:type="dxa"/>
            <w:noWrap/>
            <w:hideMark/>
          </w:tcPr>
          <w:p w14:paraId="75FAD005" w14:textId="77777777" w:rsidR="00857846" w:rsidRPr="00686E85" w:rsidRDefault="00857846" w:rsidP="003F1348">
            <w:proofErr w:type="spellStart"/>
            <w:r w:rsidRPr="00686E85">
              <w:t>Zoumas</w:t>
            </w:r>
            <w:proofErr w:type="spellEnd"/>
            <w:r w:rsidRPr="00686E85">
              <w:t>, Christoforos</w:t>
            </w:r>
          </w:p>
        </w:tc>
      </w:tr>
      <w:tr w:rsidR="00857846" w:rsidRPr="00686E85" w14:paraId="149F6ABB" w14:textId="77777777" w:rsidTr="003F1348">
        <w:trPr>
          <w:trHeight w:val="290"/>
          <w:jc w:val="center"/>
        </w:trPr>
        <w:tc>
          <w:tcPr>
            <w:tcW w:w="8014" w:type="dxa"/>
            <w:noWrap/>
            <w:hideMark/>
          </w:tcPr>
          <w:p w14:paraId="754935BC" w14:textId="77777777" w:rsidR="00857846" w:rsidRPr="00686E85" w:rsidRDefault="00857846" w:rsidP="003F1348">
            <w:r w:rsidRPr="00686E85">
              <w:t>GELINEAU Helene</w:t>
            </w:r>
          </w:p>
        </w:tc>
      </w:tr>
      <w:tr w:rsidR="00857846" w:rsidRPr="00686E85" w14:paraId="7D317828" w14:textId="77777777" w:rsidTr="003F1348">
        <w:trPr>
          <w:trHeight w:val="290"/>
          <w:jc w:val="center"/>
        </w:trPr>
        <w:tc>
          <w:tcPr>
            <w:tcW w:w="8014" w:type="dxa"/>
            <w:noWrap/>
            <w:hideMark/>
          </w:tcPr>
          <w:p w14:paraId="42CE3E1B" w14:textId="77777777" w:rsidR="00857846" w:rsidRPr="00686E85" w:rsidRDefault="00857846" w:rsidP="003F1348">
            <w:r w:rsidRPr="00686E85">
              <w:t>RICARDO RODRIGUES</w:t>
            </w:r>
          </w:p>
        </w:tc>
      </w:tr>
      <w:tr w:rsidR="00857846" w:rsidRPr="00686E85" w14:paraId="1CE4B407" w14:textId="77777777" w:rsidTr="003F1348">
        <w:trPr>
          <w:trHeight w:val="290"/>
          <w:jc w:val="center"/>
        </w:trPr>
        <w:tc>
          <w:tcPr>
            <w:tcW w:w="8014" w:type="dxa"/>
            <w:noWrap/>
            <w:hideMark/>
          </w:tcPr>
          <w:p w14:paraId="6DDB9B60" w14:textId="77777777" w:rsidR="00857846" w:rsidRPr="00686E85" w:rsidRDefault="00857846" w:rsidP="003F1348">
            <w:r w:rsidRPr="00686E85">
              <w:t>MANTZARIDES Stephane</w:t>
            </w:r>
          </w:p>
        </w:tc>
      </w:tr>
      <w:tr w:rsidR="00857846" w:rsidRPr="00686E85" w14:paraId="50F2C39B" w14:textId="77777777" w:rsidTr="003F1348">
        <w:trPr>
          <w:trHeight w:val="290"/>
          <w:jc w:val="center"/>
        </w:trPr>
        <w:tc>
          <w:tcPr>
            <w:tcW w:w="8014" w:type="dxa"/>
            <w:noWrap/>
            <w:hideMark/>
          </w:tcPr>
          <w:p w14:paraId="0CDB37A7" w14:textId="77777777" w:rsidR="00857846" w:rsidRPr="00686E85" w:rsidRDefault="00857846" w:rsidP="003F1348">
            <w:r w:rsidRPr="00686E85">
              <w:lastRenderedPageBreak/>
              <w:t>Anca Bujor</w:t>
            </w:r>
          </w:p>
        </w:tc>
      </w:tr>
      <w:tr w:rsidR="00857846" w:rsidRPr="00686E85" w14:paraId="16D1ECD3" w14:textId="77777777" w:rsidTr="003F1348">
        <w:trPr>
          <w:trHeight w:val="290"/>
          <w:jc w:val="center"/>
        </w:trPr>
        <w:tc>
          <w:tcPr>
            <w:tcW w:w="8014" w:type="dxa"/>
            <w:noWrap/>
            <w:hideMark/>
          </w:tcPr>
          <w:p w14:paraId="0C46E528" w14:textId="77777777" w:rsidR="00857846" w:rsidRPr="00686E85" w:rsidRDefault="00857846" w:rsidP="003F1348">
            <w:r w:rsidRPr="00686E85">
              <w:t>Engel, Stephan (SI GSW CYS)</w:t>
            </w:r>
          </w:p>
        </w:tc>
      </w:tr>
      <w:tr w:rsidR="00857846" w:rsidRPr="00686E85" w14:paraId="0BBE7320" w14:textId="77777777" w:rsidTr="003F1348">
        <w:trPr>
          <w:trHeight w:val="290"/>
          <w:jc w:val="center"/>
        </w:trPr>
        <w:tc>
          <w:tcPr>
            <w:tcW w:w="8014" w:type="dxa"/>
            <w:noWrap/>
            <w:hideMark/>
          </w:tcPr>
          <w:p w14:paraId="0E772476" w14:textId="77777777" w:rsidR="00857846" w:rsidRPr="00686E85" w:rsidRDefault="00857846" w:rsidP="003F1348">
            <w:r w:rsidRPr="00686E85">
              <w:t>Ivanyos János</w:t>
            </w:r>
          </w:p>
        </w:tc>
      </w:tr>
      <w:tr w:rsidR="00857846" w:rsidRPr="002B763B" w14:paraId="2992A6AC" w14:textId="77777777" w:rsidTr="003F1348">
        <w:trPr>
          <w:trHeight w:val="290"/>
          <w:jc w:val="center"/>
        </w:trPr>
        <w:tc>
          <w:tcPr>
            <w:tcW w:w="8014" w:type="dxa"/>
            <w:noWrap/>
            <w:hideMark/>
          </w:tcPr>
          <w:p w14:paraId="24534534" w14:textId="77777777" w:rsidR="00857846" w:rsidRPr="002B763B" w:rsidRDefault="00857846" w:rsidP="003F1348">
            <w:pPr>
              <w:rPr>
                <w:lang w:val="fr-BE"/>
              </w:rPr>
            </w:pPr>
            <w:r w:rsidRPr="002B763B">
              <w:rPr>
                <w:lang w:val="fr-BE"/>
              </w:rPr>
              <w:t>De Luca Gabriele (GDS CYS)</w:t>
            </w:r>
          </w:p>
        </w:tc>
      </w:tr>
      <w:tr w:rsidR="00857846" w:rsidRPr="00686E85" w14:paraId="726C27AC" w14:textId="77777777" w:rsidTr="003F1348">
        <w:trPr>
          <w:trHeight w:val="290"/>
          <w:jc w:val="center"/>
        </w:trPr>
        <w:tc>
          <w:tcPr>
            <w:tcW w:w="8014" w:type="dxa"/>
            <w:noWrap/>
            <w:hideMark/>
          </w:tcPr>
          <w:p w14:paraId="7A10D299" w14:textId="77777777" w:rsidR="00857846" w:rsidRPr="00686E85" w:rsidRDefault="00857846" w:rsidP="003F1348">
            <w:r w:rsidRPr="00686E85">
              <w:t>Catarina Augusto</w:t>
            </w:r>
          </w:p>
        </w:tc>
      </w:tr>
      <w:tr w:rsidR="00857846" w:rsidRPr="00686E85" w14:paraId="00CFD047" w14:textId="77777777" w:rsidTr="003F1348">
        <w:trPr>
          <w:trHeight w:val="290"/>
          <w:jc w:val="center"/>
        </w:trPr>
        <w:tc>
          <w:tcPr>
            <w:tcW w:w="8014" w:type="dxa"/>
            <w:noWrap/>
            <w:hideMark/>
          </w:tcPr>
          <w:p w14:paraId="3A3AE77F" w14:textId="77777777" w:rsidR="00857846" w:rsidRPr="00686E85" w:rsidRDefault="00857846" w:rsidP="003F1348">
            <w:r w:rsidRPr="00686E85">
              <w:t>Höltkemeier, Laura</w:t>
            </w:r>
          </w:p>
        </w:tc>
      </w:tr>
      <w:tr w:rsidR="00857846" w:rsidRPr="00686E85" w14:paraId="27F1425B" w14:textId="77777777" w:rsidTr="003F1348">
        <w:trPr>
          <w:trHeight w:val="290"/>
          <w:jc w:val="center"/>
        </w:trPr>
        <w:tc>
          <w:tcPr>
            <w:tcW w:w="8014" w:type="dxa"/>
            <w:noWrap/>
            <w:hideMark/>
          </w:tcPr>
          <w:p w14:paraId="3F75DECD" w14:textId="77777777" w:rsidR="00857846" w:rsidRPr="00686E85" w:rsidRDefault="00857846" w:rsidP="003F1348">
            <w:r w:rsidRPr="00686E85">
              <w:t xml:space="preserve">Kadri </w:t>
            </w:r>
            <w:proofErr w:type="spellStart"/>
            <w:r w:rsidRPr="00686E85">
              <w:t>Viskar</w:t>
            </w:r>
            <w:proofErr w:type="spellEnd"/>
          </w:p>
        </w:tc>
      </w:tr>
      <w:tr w:rsidR="00857846" w:rsidRPr="00686E85" w14:paraId="17100D40" w14:textId="77777777" w:rsidTr="003F1348">
        <w:trPr>
          <w:trHeight w:val="290"/>
          <w:jc w:val="center"/>
        </w:trPr>
        <w:tc>
          <w:tcPr>
            <w:tcW w:w="8014" w:type="dxa"/>
            <w:noWrap/>
            <w:hideMark/>
          </w:tcPr>
          <w:p w14:paraId="6D8B60DE" w14:textId="77777777" w:rsidR="00857846" w:rsidRPr="00686E85" w:rsidRDefault="00857846" w:rsidP="003F1348">
            <w:r w:rsidRPr="00686E85">
              <w:t>MILLIEN Thibault</w:t>
            </w:r>
          </w:p>
        </w:tc>
      </w:tr>
      <w:tr w:rsidR="00857846" w:rsidRPr="00686E85" w14:paraId="6CB8227A" w14:textId="77777777" w:rsidTr="003F1348">
        <w:trPr>
          <w:trHeight w:val="290"/>
          <w:jc w:val="center"/>
        </w:trPr>
        <w:tc>
          <w:tcPr>
            <w:tcW w:w="8014" w:type="dxa"/>
            <w:noWrap/>
            <w:hideMark/>
          </w:tcPr>
          <w:p w14:paraId="5DD9199A" w14:textId="77777777" w:rsidR="00857846" w:rsidRPr="00686E85" w:rsidRDefault="00857846" w:rsidP="003F1348">
            <w:r w:rsidRPr="00686E85">
              <w:t>Federica Quattrucci</w:t>
            </w:r>
          </w:p>
        </w:tc>
      </w:tr>
    </w:tbl>
    <w:p w14:paraId="6F0F93FC" w14:textId="77777777" w:rsidR="00857846" w:rsidRDefault="00857846" w:rsidP="00857846"/>
    <w:p w14:paraId="43AD1984" w14:textId="77777777" w:rsidR="00857846" w:rsidRDefault="00857846" w:rsidP="00857846"/>
    <w:p w14:paraId="62B8B73D" w14:textId="77777777" w:rsidR="00857846" w:rsidRPr="00CF60A4" w:rsidRDefault="00857846" w:rsidP="00F57747">
      <w:pPr>
        <w:pStyle w:val="Heading2"/>
      </w:pPr>
      <w:r w:rsidRPr="00CF60A4">
        <w:t>Welcome from ESC Chair</w:t>
      </w:r>
    </w:p>
    <w:p w14:paraId="635A9AA4" w14:textId="77777777" w:rsidR="00857846" w:rsidRPr="005D0148" w:rsidRDefault="00857846" w:rsidP="00737CDC">
      <w:pPr>
        <w:jc w:val="both"/>
      </w:pPr>
      <w:r w:rsidRPr="005D0148">
        <w:t xml:space="preserve">The meeting was opened by </w:t>
      </w:r>
      <w:r w:rsidRPr="005D0148">
        <w:rPr>
          <w:b/>
          <w:bCs/>
        </w:rPr>
        <w:t xml:space="preserve">Slawomir </w:t>
      </w:r>
      <w:proofErr w:type="spellStart"/>
      <w:r w:rsidRPr="005D0148">
        <w:rPr>
          <w:b/>
          <w:bCs/>
        </w:rPr>
        <w:t>Bryska</w:t>
      </w:r>
      <w:proofErr w:type="spellEnd"/>
      <w:r w:rsidRPr="005D0148">
        <w:t xml:space="preserve">, who welcomed participants and formally acknowledged the </w:t>
      </w:r>
      <w:r w:rsidRPr="005D0148">
        <w:rPr>
          <w:b/>
          <w:bCs/>
        </w:rPr>
        <w:t>European Energy Information Sharing and Analysis Centre (EE</w:t>
      </w:r>
      <w:r w:rsidRPr="005D0148">
        <w:rPr>
          <w:b/>
          <w:bCs/>
        </w:rPr>
        <w:noBreakHyphen/>
        <w:t>ISAC)</w:t>
      </w:r>
      <w:r w:rsidRPr="005D0148">
        <w:t xml:space="preserve"> as a new entity joining the ESC group. Representing EE</w:t>
      </w:r>
      <w:r w:rsidRPr="005D0148">
        <w:noBreakHyphen/>
        <w:t xml:space="preserve">ISAC, </w:t>
      </w:r>
      <w:r w:rsidRPr="005D0148">
        <w:rPr>
          <w:b/>
          <w:bCs/>
        </w:rPr>
        <w:t xml:space="preserve">Mara Grosso and Nuno </w:t>
      </w:r>
      <w:proofErr w:type="spellStart"/>
      <w:r w:rsidRPr="005D0148">
        <w:rPr>
          <w:b/>
          <w:bCs/>
        </w:rPr>
        <w:t>Medeira</w:t>
      </w:r>
      <w:proofErr w:type="spellEnd"/>
      <w:r w:rsidRPr="005D0148">
        <w:t xml:space="preserve"> introduced themselves and thanked participants for the opportunity to collaborate within the ESC framework.</w:t>
      </w:r>
    </w:p>
    <w:p w14:paraId="25EB6C9B" w14:textId="77777777" w:rsidR="00857846" w:rsidRDefault="00857846" w:rsidP="00737CDC">
      <w:pPr>
        <w:jc w:val="both"/>
      </w:pPr>
    </w:p>
    <w:p w14:paraId="53B246C8" w14:textId="77777777" w:rsidR="00857846" w:rsidRPr="00CF60A4" w:rsidRDefault="00857846" w:rsidP="00737CDC">
      <w:pPr>
        <w:pStyle w:val="Heading2"/>
        <w:jc w:val="both"/>
      </w:pPr>
      <w:r w:rsidRPr="00CF60A4">
        <w:t>NCCS Working Group update on the implementation of the Cybersecurity Network Code</w:t>
      </w:r>
    </w:p>
    <w:p w14:paraId="795243A4" w14:textId="552E7E93" w:rsidR="00857846" w:rsidRDefault="00857846" w:rsidP="00737CDC">
      <w:pPr>
        <w:jc w:val="both"/>
      </w:pPr>
      <w:r>
        <w:t xml:space="preserve">The presentation then moved to ENTSO-E and DSO Entity who presented the current </w:t>
      </w:r>
      <w:r w:rsidR="007001CB">
        <w:t xml:space="preserve">progress </w:t>
      </w:r>
      <w:r w:rsidRPr="009A2F37">
        <w:t xml:space="preserve">on the </w:t>
      </w:r>
      <w:r w:rsidRPr="009A2F37">
        <w:rPr>
          <w:b/>
          <w:bCs/>
        </w:rPr>
        <w:t>ongoing work under the Network Code on Cybersecurity (NCCS)</w:t>
      </w:r>
      <w:r w:rsidRPr="009A2F37">
        <w:t xml:space="preserve">. Representatives from </w:t>
      </w:r>
      <w:r w:rsidRPr="009A2F37">
        <w:rPr>
          <w:b/>
          <w:bCs/>
        </w:rPr>
        <w:t>ENTSO</w:t>
      </w:r>
      <w:r w:rsidRPr="009A2F37">
        <w:rPr>
          <w:b/>
          <w:bCs/>
        </w:rPr>
        <w:noBreakHyphen/>
        <w:t>E and the DSO Entity</w:t>
      </w:r>
      <w:r w:rsidRPr="009A2F37">
        <w:t xml:space="preserve"> provided a structured overview of progress across the NCCS chapters. They outlined current activities related to cybersecurity risk assessment, including both methodological work and Union</w:t>
      </w:r>
      <w:r w:rsidRPr="009A2F37">
        <w:noBreakHyphen/>
        <w:t>wide assessments. Further updates were given on the Common Electricity Cybersecurity Framework, with a focus on minimum and advanced security controls and their mapping.</w:t>
      </w:r>
    </w:p>
    <w:p w14:paraId="63F9D460" w14:textId="5EB3D8E5" w:rsidR="00857846" w:rsidRPr="009A2F37" w:rsidRDefault="00857846" w:rsidP="00737CDC">
      <w:pPr>
        <w:jc w:val="both"/>
      </w:pPr>
      <w:r w:rsidRPr="00C65193">
        <w:t>Attention then moved to cybersecurity procurement recommendations, followed by a presentation on work addressing cyber</w:t>
      </w:r>
      <w:r w:rsidRPr="00C65193">
        <w:noBreakHyphen/>
        <w:t>attack management, and crisis coordination. This included a feasibility study exploring the development of a common information</w:t>
      </w:r>
      <w:r w:rsidRPr="00C65193">
        <w:noBreakHyphen/>
        <w:t>sharing tool. The update concluded with the presentation of the Electricity Cybersecurity Exercise Framework, including exercise scenario templates applicable at both entity and Member State levels.</w:t>
      </w:r>
    </w:p>
    <w:p w14:paraId="02555300" w14:textId="77777777" w:rsidR="00857846" w:rsidRDefault="00857846" w:rsidP="00737CDC">
      <w:pPr>
        <w:jc w:val="both"/>
      </w:pPr>
    </w:p>
    <w:p w14:paraId="1E5DDE99" w14:textId="77777777" w:rsidR="00857846" w:rsidRPr="00CF60A4" w:rsidRDefault="00857846" w:rsidP="00737CDC">
      <w:pPr>
        <w:pStyle w:val="Heading2"/>
        <w:jc w:val="both"/>
      </w:pPr>
      <w:r w:rsidRPr="00CF60A4">
        <w:lastRenderedPageBreak/>
        <w:t>ACER update on the implementation of the Cybersecurity Network Code &amp; first cross-country benchmarking of costs and effectiveness of investments in cybersecurity</w:t>
      </w:r>
    </w:p>
    <w:p w14:paraId="123164E2" w14:textId="77777777" w:rsidR="00857846" w:rsidRPr="00CF60A4" w:rsidRDefault="00857846" w:rsidP="00737CDC">
      <w:pPr>
        <w:jc w:val="both"/>
      </w:pPr>
      <w:r w:rsidRPr="00CF60A4">
        <w:t xml:space="preserve">Slawomir </w:t>
      </w:r>
      <w:proofErr w:type="spellStart"/>
      <w:r w:rsidRPr="00CF60A4">
        <w:t>Bryska</w:t>
      </w:r>
      <w:proofErr w:type="spellEnd"/>
      <w:r w:rsidRPr="00CF60A4">
        <w:t xml:space="preserve"> presented the consultation currently open on the </w:t>
      </w:r>
      <w:r w:rsidRPr="00CF60A4">
        <w:rPr>
          <w:b/>
          <w:bCs/>
        </w:rPr>
        <w:t>Terms of Reference of three ESC sub</w:t>
      </w:r>
      <w:r w:rsidRPr="00CF60A4">
        <w:rPr>
          <w:b/>
          <w:bCs/>
        </w:rPr>
        <w:noBreakHyphen/>
        <w:t>groups</w:t>
      </w:r>
      <w:r w:rsidRPr="00CF60A4">
        <w:t xml:space="preserve">, running until </w:t>
      </w:r>
      <w:r w:rsidRPr="00CF60A4">
        <w:rPr>
          <w:b/>
          <w:bCs/>
        </w:rPr>
        <w:t>7 May</w:t>
      </w:r>
      <w:r w:rsidRPr="00CF60A4">
        <w:t>. He also provided updates on operational reliability performance indicators and associated submission guidance.</w:t>
      </w:r>
    </w:p>
    <w:p w14:paraId="0BF7FFA8" w14:textId="77777777" w:rsidR="00857846" w:rsidRPr="00781BAC" w:rsidRDefault="00857846" w:rsidP="00737CDC">
      <w:pPr>
        <w:jc w:val="both"/>
      </w:pPr>
      <w:r w:rsidRPr="00781BAC">
        <w:t xml:space="preserve">A significant part of the ACER intervention focused on the </w:t>
      </w:r>
      <w:r w:rsidRPr="00781BAC">
        <w:rPr>
          <w:b/>
          <w:bCs/>
        </w:rPr>
        <w:t>cybersecurity benchmarking exercise</w:t>
      </w:r>
      <w:r w:rsidRPr="00781BAC">
        <w:t xml:space="preserve">, which is approaching its final phase. National Regulatory Authorities (NRAs) have been requested to assess whether cybersecurity investments effectively mitigate risks, deliver expected outcomes, and are efficiently integrated into asset procurement processes. Slawomir outlined the expected outputs of the exercise, the methodology applied, and reassured participants that all submitted information would be handled </w:t>
      </w:r>
      <w:r w:rsidRPr="00F57747">
        <w:t xml:space="preserve">as </w:t>
      </w:r>
      <w:r w:rsidRPr="00781BAC">
        <w:t>confidentially</w:t>
      </w:r>
      <w:r w:rsidRPr="00F57747">
        <w:t xml:space="preserve"> as possible</w:t>
      </w:r>
      <w:r w:rsidRPr="00781BAC">
        <w:t>. He also presented the 2024 call for inputs for future benchmarking guidelines and explained how the ongoing exercise will inform future regulatory developments.</w:t>
      </w:r>
    </w:p>
    <w:p w14:paraId="4417836F" w14:textId="77777777" w:rsidR="00857846" w:rsidRPr="00781BAC" w:rsidRDefault="00857846" w:rsidP="00737CDC">
      <w:pPr>
        <w:jc w:val="both"/>
      </w:pPr>
      <w:r w:rsidRPr="00781BAC">
        <w:rPr>
          <w:b/>
          <w:bCs/>
        </w:rPr>
        <w:t>Janos Ivanyos</w:t>
      </w:r>
      <w:r w:rsidRPr="00781BAC">
        <w:t>, co</w:t>
      </w:r>
      <w:r w:rsidRPr="00781BAC">
        <w:noBreakHyphen/>
        <w:t xml:space="preserve">convener of the Cyber ESC, complemented this presentation by explaining how the benchmarking data will be anonymised, presenting the agreed minimum dataset, and reiterating that the </w:t>
      </w:r>
      <w:proofErr w:type="gramStart"/>
      <w:r w:rsidRPr="00781BAC">
        <w:t>ultimate goal</w:t>
      </w:r>
      <w:proofErr w:type="gramEnd"/>
      <w:r w:rsidRPr="00781BAC">
        <w:t xml:space="preserve"> of the exercise is to monitor cybersecurity costs across the sector. He shared early conclusions emerging from NCCS implementation and stressed that delays in national permitting or approval processes would run counter to the interests of regulated entities, calling on NRAs to accelerate procedures where possible.</w:t>
      </w:r>
    </w:p>
    <w:p w14:paraId="551A0407" w14:textId="77777777" w:rsidR="00857846" w:rsidRPr="00781BAC" w:rsidRDefault="00857846" w:rsidP="00737CDC">
      <w:pPr>
        <w:jc w:val="both"/>
      </w:pPr>
      <w:r w:rsidRPr="00781BAC">
        <w:t xml:space="preserve">Due to limited time, it was agreed that the </w:t>
      </w:r>
      <w:r w:rsidRPr="00781BAC">
        <w:rPr>
          <w:b/>
          <w:bCs/>
        </w:rPr>
        <w:t>Q&amp;A session on benchmarking would be deferred to the Autumn ESC Plenary Meeting</w:t>
      </w:r>
      <w:r w:rsidRPr="00781BAC">
        <w:t>.</w:t>
      </w:r>
    </w:p>
    <w:p w14:paraId="080F2277" w14:textId="77777777" w:rsidR="00857846" w:rsidRDefault="00857846" w:rsidP="00737CDC">
      <w:pPr>
        <w:jc w:val="both"/>
      </w:pPr>
    </w:p>
    <w:p w14:paraId="47A9E974" w14:textId="77777777" w:rsidR="00857846" w:rsidRPr="001B2DB0" w:rsidRDefault="00857846" w:rsidP="00737CDC">
      <w:pPr>
        <w:pStyle w:val="Heading2"/>
        <w:jc w:val="both"/>
      </w:pPr>
      <w:r>
        <w:t>C</w:t>
      </w:r>
      <w:r w:rsidRPr="00ED0D40">
        <w:t>ERT Polska presentation on the</w:t>
      </w:r>
      <w:r>
        <w:t xml:space="preserve"> </w:t>
      </w:r>
      <w:r w:rsidRPr="00ED0D40">
        <w:t>energy sector incident of 29 December 2025</w:t>
      </w:r>
    </w:p>
    <w:p w14:paraId="5C6DD6C7" w14:textId="77777777" w:rsidR="00857846" w:rsidRPr="00C92105" w:rsidRDefault="00857846" w:rsidP="00737CDC">
      <w:pPr>
        <w:jc w:val="both"/>
      </w:pPr>
      <w:r w:rsidRPr="00C92105">
        <w:t xml:space="preserve">The meeting then shifted focus to </w:t>
      </w:r>
      <w:r>
        <w:t>the</w:t>
      </w:r>
      <w:r w:rsidRPr="00C92105">
        <w:t xml:space="preserve"> </w:t>
      </w:r>
      <w:r w:rsidRPr="00C92105">
        <w:rPr>
          <w:b/>
          <w:bCs/>
        </w:rPr>
        <w:t>recent cyber incident in the Polish energy sector</w:t>
      </w:r>
      <w:r w:rsidRPr="00C92105">
        <w:t xml:space="preserve">, presented by </w:t>
      </w:r>
      <w:r w:rsidRPr="00C92105">
        <w:rPr>
          <w:b/>
          <w:bCs/>
        </w:rPr>
        <w:t xml:space="preserve">Mr </w:t>
      </w:r>
      <w:proofErr w:type="spellStart"/>
      <w:r w:rsidRPr="00C92105">
        <w:rPr>
          <w:b/>
          <w:bCs/>
        </w:rPr>
        <w:t>Pawlinski</w:t>
      </w:r>
      <w:proofErr w:type="spellEnd"/>
      <w:r w:rsidRPr="00C92105">
        <w:t xml:space="preserve"> from CERT. He explained that the incident formed part of a coordinated and destructive campaign, primarily targeting solar plants through simultaneous attacks. </w:t>
      </w:r>
      <w:r>
        <w:t>He noted that</w:t>
      </w:r>
      <w:r w:rsidRPr="00C92105">
        <w:t xml:space="preserve"> solar assets largely fall outside NCCS provisions</w:t>
      </w:r>
      <w:r>
        <w:t xml:space="preserve"> and </w:t>
      </w:r>
      <w:r w:rsidRPr="00C92105">
        <w:t>the attackers’ intent was clearly to maximise damage. Thankfully, the operational impact remained limited.</w:t>
      </w:r>
    </w:p>
    <w:p w14:paraId="7CD5846E" w14:textId="484D1867" w:rsidR="00857846" w:rsidRPr="00C92105" w:rsidRDefault="00857846" w:rsidP="00737CDC">
      <w:pPr>
        <w:jc w:val="both"/>
      </w:pPr>
      <w:r w:rsidRPr="00C92105">
        <w:t xml:space="preserve">From </w:t>
      </w:r>
      <w:proofErr w:type="spellStart"/>
      <w:r w:rsidRPr="00C92105">
        <w:t>CERT’s</w:t>
      </w:r>
      <w:proofErr w:type="spellEnd"/>
      <w:r w:rsidRPr="00C92105">
        <w:t xml:space="preserve"> perspective, the incident response benefitted from strong cooperation with affected entities, ICS vendors, and cybersecurity suppliers, and no on</w:t>
      </w:r>
      <w:r w:rsidRPr="00C92105">
        <w:noBreakHyphen/>
        <w:t xml:space="preserve">site intervention </w:t>
      </w:r>
      <w:r w:rsidRPr="00C92105">
        <w:lastRenderedPageBreak/>
        <w:t>was required. The discussion highlighted the systemic risk posed by distributed energy resources when attacked at scale.</w:t>
      </w:r>
    </w:p>
    <w:p w14:paraId="26465EA2" w14:textId="77777777" w:rsidR="00857846" w:rsidRDefault="00857846" w:rsidP="00737CDC">
      <w:pPr>
        <w:jc w:val="both"/>
      </w:pPr>
    </w:p>
    <w:p w14:paraId="74A92B44" w14:textId="77777777" w:rsidR="00857846" w:rsidRDefault="00857846" w:rsidP="00737CDC">
      <w:pPr>
        <w:pStyle w:val="Heading2"/>
        <w:jc w:val="both"/>
      </w:pPr>
      <w:r>
        <w:t>E</w:t>
      </w:r>
      <w:r w:rsidRPr="007B3CB4">
        <w:t>NISA energy threat landscape update</w:t>
      </w:r>
    </w:p>
    <w:p w14:paraId="18EDB54F" w14:textId="50ADF86A" w:rsidR="00857846" w:rsidRPr="004B0066" w:rsidRDefault="00857846" w:rsidP="00737CDC">
      <w:pPr>
        <w:jc w:val="both"/>
      </w:pPr>
      <w:r w:rsidRPr="004B0066">
        <w:t xml:space="preserve">The final presentation was delivered by </w:t>
      </w:r>
      <w:r w:rsidRPr="004B0066">
        <w:rPr>
          <w:b/>
          <w:bCs/>
        </w:rPr>
        <w:t xml:space="preserve">Ilias </w:t>
      </w:r>
      <w:proofErr w:type="spellStart"/>
      <w:r w:rsidRPr="004B0066">
        <w:rPr>
          <w:b/>
          <w:bCs/>
        </w:rPr>
        <w:t>Bakatsis</w:t>
      </w:r>
      <w:proofErr w:type="spellEnd"/>
      <w:r w:rsidRPr="004B0066">
        <w:rPr>
          <w:b/>
          <w:bCs/>
        </w:rPr>
        <w:t xml:space="preserve"> (ENISA)</w:t>
      </w:r>
      <w:r w:rsidRPr="004B0066">
        <w:t xml:space="preserve">, who provided an overview of </w:t>
      </w:r>
      <w:r w:rsidRPr="004B0066">
        <w:rPr>
          <w:b/>
          <w:bCs/>
        </w:rPr>
        <w:t>cyber incidents recorded across Europe in Q1 2026</w:t>
      </w:r>
      <w:r w:rsidRPr="004B0066">
        <w:t>. He noted a concentration of high</w:t>
      </w:r>
      <w:r w:rsidRPr="004B0066">
        <w:noBreakHyphen/>
        <w:t xml:space="preserve">volume disruptive activity in a small number of Member States, with Poland, Denmark, and Spain accounting for </w:t>
      </w:r>
      <w:proofErr w:type="gramStart"/>
      <w:r w:rsidRPr="004B0066">
        <w:t>the majority of</w:t>
      </w:r>
      <w:proofErr w:type="gramEnd"/>
      <w:r w:rsidRPr="004B0066">
        <w:t xml:space="preserve"> incidents. DDoS attacks dominated, particularly targeting electricity operators, followed by the oil sector. The outlook suggests that DDoS attacks and financially motivated campaigns will remain prevalent, with electricity operators continuing to be prime targets.</w:t>
      </w:r>
    </w:p>
    <w:p w14:paraId="357E3AD8" w14:textId="77777777" w:rsidR="00857846" w:rsidRDefault="00857846" w:rsidP="00737CDC">
      <w:pPr>
        <w:jc w:val="both"/>
      </w:pPr>
    </w:p>
    <w:p w14:paraId="291C7ADB" w14:textId="49042557" w:rsidR="00857846" w:rsidRDefault="00857846" w:rsidP="00737CDC">
      <w:pPr>
        <w:jc w:val="both"/>
      </w:pPr>
      <w:r w:rsidRPr="009A7853">
        <w:t xml:space="preserve">With no further questions raised, Slawomir </w:t>
      </w:r>
      <w:proofErr w:type="spellStart"/>
      <w:r w:rsidRPr="009A7853">
        <w:t>Bryska</w:t>
      </w:r>
      <w:proofErr w:type="spellEnd"/>
      <w:r w:rsidRPr="009A7853">
        <w:t xml:space="preserve"> closed the meeting, thanked participants for their contributions, reminded them of the ongoing consultations, and invited everyone to reconvene at the </w:t>
      </w:r>
      <w:r w:rsidRPr="009A7853">
        <w:rPr>
          <w:b/>
          <w:bCs/>
        </w:rPr>
        <w:t>ESC Plenary Meeting in Autumn</w:t>
      </w:r>
      <w:r w:rsidRPr="009A7853">
        <w:t>.</w:t>
      </w:r>
    </w:p>
    <w:p w14:paraId="44A1DAC8" w14:textId="77777777" w:rsidR="00857846" w:rsidRDefault="00857846" w:rsidP="00737CDC">
      <w:pPr>
        <w:jc w:val="both"/>
      </w:pPr>
    </w:p>
    <w:p w14:paraId="1052FF7A" w14:textId="77777777" w:rsidR="00857846" w:rsidRPr="009A7853" w:rsidRDefault="00857846" w:rsidP="00737CDC">
      <w:pPr>
        <w:pStyle w:val="Heading2"/>
        <w:jc w:val="both"/>
      </w:pPr>
      <w:r w:rsidRPr="009A7853">
        <w:t>Actions Points</w:t>
      </w:r>
    </w:p>
    <w:p w14:paraId="5B1FB679" w14:textId="77777777" w:rsidR="00857846" w:rsidRPr="007F69D6" w:rsidRDefault="00857846" w:rsidP="00737CDC">
      <w:pPr>
        <w:jc w:val="both"/>
        <w:rPr>
          <w:b/>
          <w:bCs/>
        </w:rPr>
      </w:pPr>
      <w:r w:rsidRPr="007F69D6">
        <w:rPr>
          <w:b/>
          <w:bCs/>
        </w:rPr>
        <w:t>ACER</w:t>
      </w:r>
    </w:p>
    <w:p w14:paraId="6AA820E9" w14:textId="77777777" w:rsidR="00857846" w:rsidRDefault="00857846" w:rsidP="00737CDC">
      <w:pPr>
        <w:pStyle w:val="ListParagraph"/>
        <w:numPr>
          <w:ilvl w:val="0"/>
          <w:numId w:val="2"/>
        </w:numPr>
        <w:jc w:val="both"/>
      </w:pPr>
      <w:r w:rsidRPr="005A208C">
        <w:t>Present the final conclusions of the cybersecurity benchmarking exercise at the next ESC Plenary Meeting.</w:t>
      </w:r>
    </w:p>
    <w:p w14:paraId="4F038C7F" w14:textId="77777777" w:rsidR="00857846" w:rsidRPr="00ED7B41" w:rsidRDefault="00857846" w:rsidP="00737CDC">
      <w:pPr>
        <w:pStyle w:val="ListParagraph"/>
        <w:numPr>
          <w:ilvl w:val="0"/>
          <w:numId w:val="2"/>
        </w:numPr>
        <w:jc w:val="both"/>
      </w:pPr>
      <w:r w:rsidRPr="005A208C">
        <w:t>Allocate dedicated time for a full Q&amp;A session on benchmarking during the Autumn plenary.</w:t>
      </w:r>
    </w:p>
    <w:p w14:paraId="5631B5A8" w14:textId="77777777" w:rsidR="00857846" w:rsidRPr="007F69D6" w:rsidRDefault="00857846" w:rsidP="00737CDC">
      <w:pPr>
        <w:jc w:val="both"/>
        <w:rPr>
          <w:b/>
          <w:bCs/>
        </w:rPr>
      </w:pPr>
      <w:r w:rsidRPr="007F69D6">
        <w:rPr>
          <w:b/>
          <w:bCs/>
        </w:rPr>
        <w:t>Cyber ESC</w:t>
      </w:r>
    </w:p>
    <w:p w14:paraId="4C12DFD9" w14:textId="77777777" w:rsidR="00857846" w:rsidRPr="00ED7B41" w:rsidRDefault="00857846" w:rsidP="00737CDC">
      <w:pPr>
        <w:pStyle w:val="ListParagraph"/>
        <w:numPr>
          <w:ilvl w:val="0"/>
          <w:numId w:val="2"/>
        </w:numPr>
        <w:jc w:val="both"/>
      </w:pPr>
      <w:r w:rsidRPr="00ED7B41">
        <w:t>Review and provide feedback on the Sub</w:t>
      </w:r>
      <w:r w:rsidRPr="00ED7B41">
        <w:rPr>
          <w:rFonts w:ascii="Cambria Math" w:hAnsi="Cambria Math" w:cs="Cambria Math"/>
        </w:rPr>
        <w:t>‑</w:t>
      </w:r>
      <w:r w:rsidRPr="00ED7B41">
        <w:t>Groups</w:t>
      </w:r>
      <w:r w:rsidRPr="00ED7B41">
        <w:rPr>
          <w:rFonts w:ascii="Aptos" w:hAnsi="Aptos" w:cs="Aptos"/>
        </w:rPr>
        <w:t>’</w:t>
      </w:r>
      <w:r w:rsidRPr="00ED7B41">
        <w:t xml:space="preserve"> </w:t>
      </w:r>
      <w:proofErr w:type="spellStart"/>
      <w:r w:rsidRPr="00ED7B41">
        <w:t>ToRs</w:t>
      </w:r>
      <w:proofErr w:type="spellEnd"/>
      <w:r w:rsidRPr="00ED7B41">
        <w:t xml:space="preserve"> within the consultation timeline.</w:t>
      </w:r>
    </w:p>
    <w:p w14:paraId="74211485" w14:textId="77777777" w:rsidR="00664780" w:rsidRPr="00857846" w:rsidRDefault="00664780" w:rsidP="00737CDC">
      <w:pPr>
        <w:jc w:val="both"/>
      </w:pPr>
    </w:p>
    <w:sectPr w:rsidR="00664780" w:rsidRPr="00857846" w:rsidSect="00857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B6DD2"/>
    <w:multiLevelType w:val="multilevel"/>
    <w:tmpl w:val="790C354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37E36"/>
    <w:multiLevelType w:val="hybridMultilevel"/>
    <w:tmpl w:val="85F44E7E"/>
    <w:lvl w:ilvl="0" w:tplc="97E238AE">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32596133">
    <w:abstractNumId w:val="0"/>
  </w:num>
  <w:num w:numId="2" w16cid:durableId="79062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46"/>
    <w:rsid w:val="00143D34"/>
    <w:rsid w:val="002B763B"/>
    <w:rsid w:val="004B2FD6"/>
    <w:rsid w:val="00664780"/>
    <w:rsid w:val="007001CB"/>
    <w:rsid w:val="00737CDC"/>
    <w:rsid w:val="00856B9F"/>
    <w:rsid w:val="00857846"/>
    <w:rsid w:val="00F5774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839A"/>
  <w15:chartTrackingRefBased/>
  <w15:docId w15:val="{087ED3DB-E78F-4C91-A123-41415008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6"/>
  </w:style>
  <w:style w:type="paragraph" w:styleId="Heading1">
    <w:name w:val="heading 1"/>
    <w:basedOn w:val="Normal"/>
    <w:next w:val="Normal"/>
    <w:link w:val="Heading1Char"/>
    <w:uiPriority w:val="9"/>
    <w:qFormat/>
    <w:rsid w:val="00857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7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7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46"/>
    <w:rPr>
      <w:rFonts w:eastAsiaTheme="majorEastAsia" w:cstheme="majorBidi"/>
      <w:color w:val="272727" w:themeColor="text1" w:themeTint="D8"/>
    </w:rPr>
  </w:style>
  <w:style w:type="paragraph" w:styleId="Title">
    <w:name w:val="Title"/>
    <w:basedOn w:val="Normal"/>
    <w:next w:val="Normal"/>
    <w:link w:val="TitleChar"/>
    <w:uiPriority w:val="10"/>
    <w:qFormat/>
    <w:rsid w:val="00857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46"/>
    <w:pPr>
      <w:spacing w:before="160"/>
      <w:jc w:val="center"/>
    </w:pPr>
    <w:rPr>
      <w:i/>
      <w:iCs/>
      <w:color w:val="404040" w:themeColor="text1" w:themeTint="BF"/>
    </w:rPr>
  </w:style>
  <w:style w:type="character" w:customStyle="1" w:styleId="QuoteChar">
    <w:name w:val="Quote Char"/>
    <w:basedOn w:val="DefaultParagraphFont"/>
    <w:link w:val="Quote"/>
    <w:uiPriority w:val="29"/>
    <w:rsid w:val="00857846"/>
    <w:rPr>
      <w:i/>
      <w:iCs/>
      <w:color w:val="404040" w:themeColor="text1" w:themeTint="BF"/>
    </w:rPr>
  </w:style>
  <w:style w:type="paragraph" w:styleId="ListParagraph">
    <w:name w:val="List Paragraph"/>
    <w:basedOn w:val="Normal"/>
    <w:uiPriority w:val="34"/>
    <w:qFormat/>
    <w:rsid w:val="00857846"/>
    <w:pPr>
      <w:ind w:left="720"/>
      <w:contextualSpacing/>
    </w:pPr>
  </w:style>
  <w:style w:type="character" w:styleId="IntenseEmphasis">
    <w:name w:val="Intense Emphasis"/>
    <w:basedOn w:val="DefaultParagraphFont"/>
    <w:uiPriority w:val="21"/>
    <w:qFormat/>
    <w:rsid w:val="00857846"/>
    <w:rPr>
      <w:i/>
      <w:iCs/>
      <w:color w:val="0F4761" w:themeColor="accent1" w:themeShade="BF"/>
    </w:rPr>
  </w:style>
  <w:style w:type="paragraph" w:styleId="IntenseQuote">
    <w:name w:val="Intense Quote"/>
    <w:basedOn w:val="Normal"/>
    <w:next w:val="Normal"/>
    <w:link w:val="IntenseQuoteChar"/>
    <w:uiPriority w:val="30"/>
    <w:qFormat/>
    <w:rsid w:val="00857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846"/>
    <w:rPr>
      <w:i/>
      <w:iCs/>
      <w:color w:val="0F4761" w:themeColor="accent1" w:themeShade="BF"/>
    </w:rPr>
  </w:style>
  <w:style w:type="character" w:styleId="IntenseReference">
    <w:name w:val="Intense Reference"/>
    <w:basedOn w:val="DefaultParagraphFont"/>
    <w:uiPriority w:val="32"/>
    <w:qFormat/>
    <w:rsid w:val="00857846"/>
    <w:rPr>
      <w:b/>
      <w:bCs/>
      <w:smallCaps/>
      <w:color w:val="0F4761" w:themeColor="accent1" w:themeShade="BF"/>
      <w:spacing w:val="5"/>
    </w:rPr>
  </w:style>
  <w:style w:type="table" w:styleId="TableGrid">
    <w:name w:val="Table Grid"/>
    <w:basedOn w:val="TableNormal"/>
    <w:uiPriority w:val="39"/>
    <w:rsid w:val="00857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24438F3AF1043A95E5763E53F6305" ma:contentTypeVersion="16" ma:contentTypeDescription="Een nieuw document maken." ma:contentTypeScope="" ma:versionID="1ac8be6330499d62cfcdf22696ae2c5b">
  <xsd:schema xmlns:xsd="http://www.w3.org/2001/XMLSchema" xmlns:xs="http://www.w3.org/2001/XMLSchema" xmlns:p="http://schemas.microsoft.com/office/2006/metadata/properties" xmlns:ns2="dd6f86dc-a266-4bbc-8195-26b83935739b" xmlns:ns3="92692ffc-aaa7-400c-baa3-7437b41c3559" targetNamespace="http://schemas.microsoft.com/office/2006/metadata/properties" ma:root="true" ma:fieldsID="168a1c43f50ffd1e7bdae792e3a682ad" ns2:_="" ns3:_="">
    <xsd:import namespace="dd6f86dc-a266-4bbc-8195-26b83935739b"/>
    <xsd:import namespace="92692ffc-aaa7-400c-baa3-7437b41c3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86dc-a266-4bbc-8195-26b83935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cf2b176-d4dc-4d18-8c95-51f9f2dafcd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692ffc-aaa7-400c-baa3-7437b41c355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86e072e5-d07e-4f95-9fab-242046a07842}" ma:internalName="TaxCatchAll" ma:showField="CatchAllData" ma:web="92692ffc-aaa7-400c-baa3-7437b41c3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692ffc-aaa7-400c-baa3-7437b41c3559" xsi:nil="true"/>
    <lcf76f155ced4ddcb4097134ff3c332f xmlns="dd6f86dc-a266-4bbc-8195-26b8393573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501BC8-05BE-44EE-9BB5-466757E0E0A9}"/>
</file>

<file path=customXml/itemProps2.xml><?xml version="1.0" encoding="utf-8"?>
<ds:datastoreItem xmlns:ds="http://schemas.openxmlformats.org/officeDocument/2006/customXml" ds:itemID="{2060C8C1-6822-475B-870F-A1D65952976C}"/>
</file>

<file path=customXml/itemProps3.xml><?xml version="1.0" encoding="utf-8"?>
<ds:datastoreItem xmlns:ds="http://schemas.openxmlformats.org/officeDocument/2006/customXml" ds:itemID="{A98C127C-1783-4798-92F7-11E2E203EE46}"/>
</file>

<file path=docProps/app.xml><?xml version="1.0" encoding="utf-8"?>
<Properties xmlns="http://schemas.openxmlformats.org/officeDocument/2006/extended-properties" xmlns:vt="http://schemas.openxmlformats.org/officeDocument/2006/docPropsVTypes">
  <Template>Normal</Template>
  <TotalTime>6</TotalTime>
  <Pages>4</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Boccia</dc:creator>
  <cp:keywords/>
  <dc:description/>
  <cp:lastModifiedBy>Arsim Bytyqi</cp:lastModifiedBy>
  <cp:revision>4</cp:revision>
  <dcterms:created xsi:type="dcterms:W3CDTF">2026-04-24T08:49:00Z</dcterms:created>
  <dcterms:modified xsi:type="dcterms:W3CDTF">2026-04-24T08:56:00Z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0x010100C1524438F3AF1043A95E5763E53F6305</vt:lpwstr>
  </property>
  <property fmtid="{D5CDD505-2E9C-101B-9397-08002B2CF9AE}" pid="3" name="MSIP_Label_26326a25-05b5-4156-bd4d-89acce8cd3b1_Enabled">
    <vt:lpwstr>True</vt:lpwstr>
  </property>
  <property fmtid="{D5CDD505-2E9C-101B-9397-08002B2CF9AE}" pid="4" name="MSIP_Label_26326a25-05b5-4156-bd4d-89acce8cd3b1_SiteId">
    <vt:lpwstr>7ffbeccf-0c1b-496c-8978-89209c2d375d</vt:lpwstr>
  </property>
  <property fmtid="{D5CDD505-2E9C-101B-9397-08002B2CF9AE}" pid="5" name="MSIP_Label_26326a25-05b5-4156-bd4d-89acce8cd3b1_SetDate">
    <vt:lpwstr>2026-04-24T10:48:47Z</vt:lpwstr>
  </property>
  <property fmtid="{D5CDD505-2E9C-101B-9397-08002B2CF9AE}" pid="6" name="MSIP_Label_26326a25-05b5-4156-bd4d-89acce8cd3b1_Name">
    <vt:lpwstr>Open within ENTSO-E</vt:lpwstr>
  </property>
  <property fmtid="{D5CDD505-2E9C-101B-9397-08002B2CF9AE}" pid="7" name="MSIP_Label_26326a25-05b5-4156-bd4d-89acce8cd3b1_ActionId">
    <vt:lpwstr>be379955-fa82-4b56-b67c-6c479e8e90d6</vt:lpwstr>
  </property>
  <property fmtid="{D5CDD505-2E9C-101B-9397-08002B2CF9AE}" pid="8" name="MSIP_Label_26326a25-05b5-4156-bd4d-89acce8cd3b1_Removed">
    <vt:lpwstr>False</vt:lpwstr>
  </property>
  <property fmtid="{D5CDD505-2E9C-101B-9397-08002B2CF9AE}" pid="9" name="MSIP_Label_26326a25-05b5-4156-bd4d-89acce8cd3b1_Extended_MSFT_Method">
    <vt:lpwstr>Standard</vt:lpwstr>
  </property>
  <property fmtid="{D5CDD505-2E9C-101B-9397-08002B2CF9AE}" pid="10" name="Sensitivity">
    <vt:lpwstr>Open within ENTSO-E</vt:lpwstr>
  </property>
</Properties>
</file>